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C61E" w14:textId="77777777" w:rsidR="00254BCD" w:rsidRPr="00BC3701" w:rsidRDefault="00E14514" w:rsidP="00F45B00">
      <w:pPr>
        <w:rPr>
          <w:rFonts w:asciiTheme="minorHAnsi" w:hAnsiTheme="minorHAnsi"/>
        </w:rPr>
      </w:pPr>
      <w:r w:rsidRPr="00BC3701">
        <w:rPr>
          <w:rFonts w:asciiTheme="minorHAnsi" w:hAnsiTheme="minorHAnsi"/>
          <w:noProof/>
          <w:lang w:val="en-US"/>
        </w:rPr>
        <w:drawing>
          <wp:inline distT="0" distB="0" distL="0" distR="0" wp14:anchorId="3134F293" wp14:editId="574AC0AD">
            <wp:extent cx="2084705" cy="56070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1460711281" name="image2.png"/>
                    <pic:cNvPicPr/>
                  </pic:nvPicPr>
                  <pic:blipFill>
                    <a:blip r:embed="rId4"/>
                    <a:stretch>
                      <a:fillRect/>
                    </a:stretch>
                  </pic:blipFill>
                  <pic:spPr>
                    <a:xfrm>
                      <a:off x="0" y="0"/>
                      <a:ext cx="2084705" cy="560705"/>
                    </a:xfrm>
                    <a:prstGeom prst="rect">
                      <a:avLst/>
                    </a:prstGeom>
                  </pic:spPr>
                </pic:pic>
              </a:graphicData>
            </a:graphic>
          </wp:inline>
        </w:drawing>
      </w:r>
    </w:p>
    <w:p w14:paraId="141952CE" w14:textId="77777777" w:rsidR="00254BCD" w:rsidRPr="00BC3701" w:rsidRDefault="00254BCD" w:rsidP="00F45B00">
      <w:pPr>
        <w:rPr>
          <w:rFonts w:asciiTheme="minorHAnsi" w:hAnsiTheme="minorHAnsi"/>
        </w:rPr>
      </w:pPr>
    </w:p>
    <w:p w14:paraId="0943ECB3" w14:textId="77777777" w:rsidR="00765632" w:rsidRDefault="00765632" w:rsidP="00765632">
      <w:pPr>
        <w:jc w:val="center"/>
      </w:pPr>
      <w:r>
        <w:rPr>
          <w:b/>
          <w:sz w:val="28"/>
          <w:szCs w:val="28"/>
        </w:rPr>
        <w:t>NetCents Technology Signs Five Year Contract with Aliant Payments Systems, a Half a Trillion-Dollar Annual Volume Payment Processor</w:t>
      </w:r>
    </w:p>
    <w:p w14:paraId="0DDC52C4" w14:textId="77777777" w:rsidR="00765632" w:rsidRDefault="00765632" w:rsidP="00765632">
      <w:pPr>
        <w:jc w:val="center"/>
      </w:pPr>
      <w:r>
        <w:rPr>
          <w:b/>
          <w:sz w:val="24"/>
          <w:szCs w:val="24"/>
        </w:rPr>
        <w:t xml:space="preserve"> Exclusive Use of NetCents Processing Solution for Cryptocurrency Transactions and Acceptance of the NetCents Coin</w:t>
      </w:r>
    </w:p>
    <w:p w14:paraId="193238AB" w14:textId="77777777" w:rsidR="00254BCD" w:rsidRPr="00BC3701" w:rsidRDefault="00254BCD" w:rsidP="00F45B00">
      <w:pPr>
        <w:rPr>
          <w:rFonts w:asciiTheme="minorHAnsi" w:eastAsia="Palatino Linotype" w:hAnsiTheme="minorHAnsi" w:cs="Palatino Linotype"/>
          <w:b/>
        </w:rPr>
      </w:pPr>
    </w:p>
    <w:p w14:paraId="36B4B5F0" w14:textId="087C61D5" w:rsidR="00E14A1C" w:rsidRPr="00966FB2" w:rsidRDefault="00E14514" w:rsidP="00B859EC">
      <w:pPr>
        <w:jc w:val="both"/>
        <w:rPr>
          <w:rFonts w:ascii="Times New Roman" w:eastAsia="Times New Roman" w:hAnsi="Times New Roman" w:cs="Times New Roman"/>
          <w:color w:val="auto"/>
          <w:sz w:val="24"/>
          <w:szCs w:val="24"/>
          <w:lang w:val="en-US"/>
        </w:rPr>
      </w:pPr>
      <w:r w:rsidRPr="00BC3701">
        <w:rPr>
          <w:rFonts w:asciiTheme="minorHAnsi" w:eastAsia="Palatino Linotype" w:hAnsiTheme="minorHAnsi" w:cs="Palatino Linotype"/>
          <w:b/>
        </w:rPr>
        <w:t>VANCOUVER, B.C., November 2</w:t>
      </w:r>
      <w:r w:rsidR="00765632">
        <w:rPr>
          <w:rFonts w:asciiTheme="minorHAnsi" w:eastAsia="Palatino Linotype" w:hAnsiTheme="minorHAnsi" w:cs="Palatino Linotype"/>
          <w:b/>
        </w:rPr>
        <w:t>3</w:t>
      </w:r>
      <w:r w:rsidRPr="00BC3701">
        <w:rPr>
          <w:rFonts w:asciiTheme="minorHAnsi" w:eastAsia="Palatino Linotype" w:hAnsiTheme="minorHAnsi" w:cs="Palatino Linotype"/>
          <w:b/>
        </w:rPr>
        <w:t>, 2017</w:t>
      </w:r>
      <w:r w:rsidRPr="00BC3701">
        <w:rPr>
          <w:rFonts w:asciiTheme="minorHAnsi" w:eastAsia="Palatino Linotype" w:hAnsiTheme="minorHAnsi" w:cs="Palatino Linotype"/>
        </w:rPr>
        <w:t xml:space="preserve"> – </w:t>
      </w:r>
      <w:r w:rsidRPr="00BC3701">
        <w:rPr>
          <w:rFonts w:asciiTheme="minorHAnsi" w:eastAsia="Palatino Linotype" w:hAnsiTheme="minorHAnsi" w:cs="Palatino Linotype"/>
          <w:b/>
        </w:rPr>
        <w:t>NetCents Technology Inc.</w:t>
      </w:r>
      <w:r w:rsidRPr="00BC3701">
        <w:rPr>
          <w:rFonts w:asciiTheme="minorHAnsi" w:eastAsia="Palatino Linotype" w:hAnsiTheme="minorHAnsi" w:cs="Palatino Linotype"/>
        </w:rPr>
        <w:t xml:space="preserve"> (“</w:t>
      </w:r>
      <w:r w:rsidRPr="00BC3701">
        <w:rPr>
          <w:rFonts w:asciiTheme="minorHAnsi" w:eastAsia="Palatino Linotype" w:hAnsiTheme="minorHAnsi" w:cs="Palatino Linotype"/>
          <w:b/>
        </w:rPr>
        <w:t>NetCents</w:t>
      </w:r>
      <w:r w:rsidRPr="00BC3701">
        <w:rPr>
          <w:rFonts w:asciiTheme="minorHAnsi" w:eastAsia="Palatino Linotype" w:hAnsiTheme="minorHAnsi" w:cs="Palatino Linotype"/>
        </w:rPr>
        <w:t>” or the “</w:t>
      </w:r>
      <w:r w:rsidRPr="00BC3701">
        <w:rPr>
          <w:rFonts w:asciiTheme="minorHAnsi" w:eastAsia="Palatino Linotype" w:hAnsiTheme="minorHAnsi" w:cs="Palatino Linotype"/>
          <w:b/>
        </w:rPr>
        <w:t>Company</w:t>
      </w:r>
      <w:r w:rsidRPr="00BC3701">
        <w:rPr>
          <w:rFonts w:asciiTheme="minorHAnsi" w:eastAsia="Palatino Linotype" w:hAnsiTheme="minorHAnsi" w:cs="Palatino Linotype"/>
        </w:rPr>
        <w:t>") (CSE</w:t>
      </w:r>
      <w:r w:rsidR="00F45B00" w:rsidRPr="00BC3701">
        <w:rPr>
          <w:rFonts w:asciiTheme="minorHAnsi" w:eastAsia="Palatino Linotype" w:hAnsiTheme="minorHAnsi" w:cs="Palatino Linotype"/>
        </w:rPr>
        <w:t>: NC</w:t>
      </w:r>
      <w:r w:rsidR="00765632">
        <w:rPr>
          <w:rFonts w:asciiTheme="minorHAnsi" w:eastAsia="Palatino Linotype" w:hAnsiTheme="minorHAnsi" w:cs="Palatino Linotype"/>
        </w:rPr>
        <w:t xml:space="preserve"> / </w:t>
      </w:r>
      <w:r w:rsidR="00966FB2" w:rsidRPr="00966FB2">
        <w:rPr>
          <w:rFonts w:asciiTheme="minorHAnsi" w:eastAsia="Times New Roman" w:hAnsiTheme="minorHAnsi" w:cs="Arial"/>
          <w:color w:val="222222"/>
          <w:shd w:val="clear" w:color="auto" w:fill="FFFFFF"/>
          <w:lang w:val="en-US"/>
        </w:rPr>
        <w:t>Frankfurt: 26N</w:t>
      </w:r>
      <w:r w:rsidR="00966FB2" w:rsidRPr="00966FB2">
        <w:rPr>
          <w:rFonts w:asciiTheme="minorHAnsi" w:eastAsia="Times New Roman" w:hAnsiTheme="minorHAnsi" w:cs="Times New Roman"/>
          <w:color w:val="auto"/>
          <w:lang w:val="en-US"/>
        </w:rPr>
        <w:t>)</w:t>
      </w:r>
      <w:r w:rsidR="00F45B00" w:rsidRPr="00966FB2">
        <w:rPr>
          <w:rFonts w:asciiTheme="minorHAnsi" w:eastAsia="Palatino Linotype" w:hAnsiTheme="minorHAnsi" w:cs="Palatino Linotype"/>
        </w:rPr>
        <w:t>,</w:t>
      </w:r>
      <w:r w:rsidR="00F45B00" w:rsidRPr="00BC3701">
        <w:rPr>
          <w:rFonts w:asciiTheme="minorHAnsi" w:eastAsia="Palatino Linotype" w:hAnsiTheme="minorHAnsi" w:cs="Palatino Linotype"/>
        </w:rPr>
        <w:t xml:space="preserve"> is pleased to announce a</w:t>
      </w:r>
      <w:r w:rsidRPr="00BC3701">
        <w:rPr>
          <w:rFonts w:asciiTheme="minorHAnsi" w:eastAsia="Palatino Linotype" w:hAnsiTheme="minorHAnsi" w:cs="Palatino Linotype"/>
        </w:rPr>
        <w:t xml:space="preserve"> </w:t>
      </w:r>
      <w:r w:rsidR="00254BCD" w:rsidRPr="00BC3701">
        <w:rPr>
          <w:rFonts w:asciiTheme="minorHAnsi" w:eastAsia="Palatino Linotype" w:hAnsiTheme="minorHAnsi" w:cs="Palatino Linotype"/>
        </w:rPr>
        <w:t xml:space="preserve">five (5) year </w:t>
      </w:r>
      <w:r w:rsidRPr="00BC3701">
        <w:rPr>
          <w:rFonts w:asciiTheme="minorHAnsi" w:eastAsia="Palatino Linotype" w:hAnsiTheme="minorHAnsi" w:cs="Palatino Linotype"/>
        </w:rPr>
        <w:t xml:space="preserve">revenue sharing </w:t>
      </w:r>
      <w:r w:rsidR="00254BCD" w:rsidRPr="00BC3701">
        <w:rPr>
          <w:rFonts w:asciiTheme="minorHAnsi" w:eastAsia="Palatino Linotype" w:hAnsiTheme="minorHAnsi" w:cs="Palatino Linotype"/>
        </w:rPr>
        <w:t>a</w:t>
      </w:r>
      <w:r w:rsidRPr="00BC3701">
        <w:rPr>
          <w:rFonts w:asciiTheme="minorHAnsi" w:eastAsia="Palatino Linotype" w:hAnsiTheme="minorHAnsi" w:cs="Palatino Linotype"/>
        </w:rPr>
        <w:t>greement with Aliant Payment Systems ("</w:t>
      </w:r>
      <w:r w:rsidR="00254BCD" w:rsidRPr="00BC3701">
        <w:rPr>
          <w:rFonts w:asciiTheme="minorHAnsi" w:eastAsia="Palatino Linotype" w:hAnsiTheme="minorHAnsi" w:cs="Palatino Linotype"/>
        </w:rPr>
        <w:t>Aliant") that</w:t>
      </w:r>
      <w:r w:rsidRPr="00BC3701">
        <w:rPr>
          <w:rFonts w:asciiTheme="minorHAnsi" w:eastAsia="Palatino Linotype" w:hAnsiTheme="minorHAnsi" w:cs="Palatino Linotype"/>
        </w:rPr>
        <w:t xml:space="preserve"> </w:t>
      </w:r>
      <w:r w:rsidR="00D53C4A" w:rsidRPr="00BC3701">
        <w:rPr>
          <w:rFonts w:asciiTheme="minorHAnsi" w:eastAsia="Palatino Linotype" w:hAnsiTheme="minorHAnsi" w:cs="Palatino Linotype"/>
        </w:rPr>
        <w:t xml:space="preserve">will see </w:t>
      </w:r>
      <w:r w:rsidRPr="00BC3701">
        <w:rPr>
          <w:rFonts w:asciiTheme="minorHAnsi" w:eastAsia="Palatino Linotype" w:hAnsiTheme="minorHAnsi" w:cs="Palatino Linotype"/>
        </w:rPr>
        <w:t>Aliant offer</w:t>
      </w:r>
      <w:r w:rsidR="00D53C4A" w:rsidRPr="00BC3701">
        <w:rPr>
          <w:rFonts w:asciiTheme="minorHAnsi" w:eastAsia="Palatino Linotype" w:hAnsiTheme="minorHAnsi" w:cs="Palatino Linotype"/>
        </w:rPr>
        <w:t>ing</w:t>
      </w:r>
      <w:r w:rsidRPr="00BC3701">
        <w:rPr>
          <w:rFonts w:asciiTheme="minorHAnsi" w:eastAsia="Palatino Linotype" w:hAnsiTheme="minorHAnsi" w:cs="Palatino Linotype"/>
        </w:rPr>
        <w:t xml:space="preserve"> a white-labeled NetCents cryptocurrency proces</w:t>
      </w:r>
      <w:r w:rsidR="006231FC" w:rsidRPr="00BC3701">
        <w:rPr>
          <w:rFonts w:asciiTheme="minorHAnsi" w:eastAsia="Palatino Linotype" w:hAnsiTheme="minorHAnsi" w:cs="Palatino Linotype"/>
        </w:rPr>
        <w:t>sing solution to their network of nearly 7,000 US-based merchants</w:t>
      </w:r>
      <w:r w:rsidRPr="00BC3701">
        <w:rPr>
          <w:rFonts w:asciiTheme="minorHAnsi" w:eastAsia="Palatino Linotype" w:hAnsiTheme="minorHAnsi" w:cs="Palatino Linotype"/>
        </w:rPr>
        <w:t>.</w:t>
      </w:r>
      <w:r w:rsidR="00E14A1C" w:rsidRPr="00BC3701">
        <w:rPr>
          <w:rFonts w:asciiTheme="minorHAnsi" w:eastAsia="Palatino Linotype" w:hAnsiTheme="minorHAnsi" w:cs="Palatino Linotype"/>
        </w:rPr>
        <w:t xml:space="preserve"> </w:t>
      </w:r>
    </w:p>
    <w:p w14:paraId="4DB48C68" w14:textId="77777777" w:rsidR="00E14514"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 xml:space="preserve">Through this agreement, NetCents is white labelling Aliant </w:t>
      </w:r>
      <w:r w:rsidR="00D53C4A" w:rsidRPr="00BC3701">
        <w:rPr>
          <w:rFonts w:asciiTheme="minorHAnsi" w:eastAsia="Palatino Linotype" w:hAnsiTheme="minorHAnsi" w:cs="Palatino Linotype"/>
        </w:rPr>
        <w:t xml:space="preserve">its </w:t>
      </w:r>
      <w:r w:rsidRPr="00BC3701">
        <w:rPr>
          <w:rFonts w:asciiTheme="minorHAnsi" w:eastAsia="Palatino Linotype" w:hAnsiTheme="minorHAnsi" w:cs="Palatino Linotype"/>
        </w:rPr>
        <w:t>streamlined cryptocurrency processing widget. The NetCents platform will be the underlying technology that processes all of Aliant’s cryptocurrency transactions and give access to their nearly 7,000 merchants to automatically accept the NetCents Coin as a settlement option after the coin is released into the NetCents ecosystem December 1, 2017.</w:t>
      </w:r>
      <w:bookmarkStart w:id="0" w:name="_GoBack"/>
      <w:bookmarkEnd w:id="0"/>
    </w:p>
    <w:p w14:paraId="227B51EB" w14:textId="6E6AC2EA" w:rsidR="001E3123"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Aliant</w:t>
      </w:r>
      <w:r w:rsidR="00D245C9" w:rsidRPr="00BC3701">
        <w:rPr>
          <w:rFonts w:asciiTheme="minorHAnsi" w:eastAsia="Palatino Linotype" w:hAnsiTheme="minorHAnsi" w:cs="Palatino Linotype"/>
        </w:rPr>
        <w:t xml:space="preserve"> Payment Systems has been in</w:t>
      </w:r>
      <w:r w:rsidRPr="00BC3701">
        <w:rPr>
          <w:rFonts w:asciiTheme="minorHAnsi" w:eastAsia="Palatino Linotype" w:hAnsiTheme="minorHAnsi" w:cs="Palatino Linotype"/>
        </w:rPr>
        <w:t xml:space="preserve"> business for more than 20 years providing processing services to a variety of industry segments including small businesses, retail outlets, restaurants, petroleum/convenience stores, and merchants in high-risk industries. </w:t>
      </w:r>
      <w:r w:rsidR="00AC2C0B">
        <w:rPr>
          <w:rFonts w:asciiTheme="minorHAnsi" w:eastAsia="Palatino Linotype" w:hAnsiTheme="minorHAnsi" w:cs="Palatino Linotype"/>
        </w:rPr>
        <w:t xml:space="preserve">Annually, </w:t>
      </w:r>
      <w:r w:rsidR="00AC5D5F" w:rsidRPr="00BC3701">
        <w:rPr>
          <w:rFonts w:asciiTheme="minorHAnsi" w:eastAsia="Palatino Linotype" w:hAnsiTheme="minorHAnsi" w:cs="Palatino Linotype"/>
        </w:rPr>
        <w:t>Aliant processes over $560 billion and has 15</w:t>
      </w:r>
      <w:r w:rsidR="00AC2C0B">
        <w:rPr>
          <w:rFonts w:asciiTheme="minorHAnsi" w:eastAsia="Palatino Linotype" w:hAnsiTheme="minorHAnsi" w:cs="Palatino Linotype"/>
        </w:rPr>
        <w:t>.5 billion transactions</w:t>
      </w:r>
      <w:r w:rsidR="00AC5D5F" w:rsidRPr="00BC3701">
        <w:rPr>
          <w:rFonts w:asciiTheme="minorHAnsi" w:eastAsia="Palatino Linotype" w:hAnsiTheme="minorHAnsi" w:cs="Palatino Linotype"/>
        </w:rPr>
        <w:t>.</w:t>
      </w:r>
      <w:r w:rsidR="00F07590" w:rsidRPr="00BC3701">
        <w:rPr>
          <w:rFonts w:asciiTheme="minorHAnsi" w:eastAsia="Palatino Linotype" w:hAnsiTheme="minorHAnsi" w:cs="Palatino Linotype"/>
        </w:rPr>
        <w:t xml:space="preserve"> </w:t>
      </w:r>
    </w:p>
    <w:p w14:paraId="70025991" w14:textId="77777777" w:rsidR="001E3123" w:rsidRPr="00BC3701" w:rsidRDefault="00391AB3"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 xml:space="preserve">50 acquiring banks worldwide have authorized Aliant to be the final say and approval on onboarding new merchant accounts, both national and international, into their system </w:t>
      </w:r>
      <w:r w:rsidR="00E14514" w:rsidRPr="00BC3701">
        <w:rPr>
          <w:rFonts w:asciiTheme="minorHAnsi" w:eastAsia="Palatino Linotype" w:hAnsiTheme="minorHAnsi" w:cs="Palatino Linotype"/>
        </w:rPr>
        <w:t xml:space="preserve">- all while offering flexible terms and conditions to business owners. </w:t>
      </w:r>
    </w:p>
    <w:p w14:paraId="25330E88" w14:textId="77777777" w:rsidR="001E3123"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Clayton Moore, Founder and CEO of NetCents stated, "Our agreement with Aliant allows their merchant network access to both our proprietary di</w:t>
      </w:r>
      <w:r w:rsidR="00C66549" w:rsidRPr="00BC3701">
        <w:rPr>
          <w:rFonts w:asciiTheme="minorHAnsi" w:eastAsia="Palatino Linotype" w:hAnsiTheme="minorHAnsi" w:cs="Palatino Linotype"/>
        </w:rPr>
        <w:t>gital currency platform</w:t>
      </w:r>
      <w:r w:rsidR="00254BCD" w:rsidRPr="00BC3701">
        <w:rPr>
          <w:rFonts w:asciiTheme="minorHAnsi" w:eastAsia="Palatino Linotype" w:hAnsiTheme="minorHAnsi" w:cs="Palatino Linotype"/>
        </w:rPr>
        <w:t xml:space="preserve"> and the NetCents Coin</w:t>
      </w:r>
      <w:r w:rsidRPr="00BC3701">
        <w:rPr>
          <w:rFonts w:asciiTheme="minorHAnsi" w:eastAsia="Palatino Linotype" w:hAnsiTheme="minorHAnsi" w:cs="Palatino Linotype"/>
        </w:rPr>
        <w:t>. With almost 7,000 merchants in their network, processing over $500 billion a year in transactions</w:t>
      </w:r>
      <w:r w:rsidR="00254BCD" w:rsidRPr="00BC3701">
        <w:rPr>
          <w:rFonts w:asciiTheme="minorHAnsi" w:eastAsia="Palatino Linotype" w:hAnsiTheme="minorHAnsi" w:cs="Palatino Linotype"/>
        </w:rPr>
        <w:t>,</w:t>
      </w:r>
      <w:r w:rsidRPr="00BC3701">
        <w:rPr>
          <w:rFonts w:asciiTheme="minorHAnsi" w:eastAsia="Palatino Linotype" w:hAnsiTheme="minorHAnsi" w:cs="Palatino Linotype"/>
        </w:rPr>
        <w:t xml:space="preserve"> it will provide NetCents with multiple points of distribution over the coming months."</w:t>
      </w:r>
    </w:p>
    <w:p w14:paraId="32C13ED0" w14:textId="77777777" w:rsidR="001E3123"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Eric Brown, CEO of Aliant payments said, “Aliant Payments was proud to be one of the first payment processors to offer merchants the ability to accept payments in bitcoin, and now we’re excited to offer a digital currency solution that is opening to multiple coins. We look forward to showing merchants what digital currency can do for online payments and what NetCents is doing for businesses transferring value globally."</w:t>
      </w:r>
    </w:p>
    <w:p w14:paraId="3A938F60" w14:textId="77777777" w:rsidR="001E3123"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Mr. Moore closed by saying, "As this relationship grows we look to integrate even more of our respective services and p</w:t>
      </w:r>
      <w:r w:rsidR="00254BCD" w:rsidRPr="00BC3701">
        <w:rPr>
          <w:rFonts w:asciiTheme="minorHAnsi" w:eastAsia="Palatino Linotype" w:hAnsiTheme="minorHAnsi" w:cs="Palatino Linotype"/>
        </w:rPr>
        <w:t>roduct offerings such as; gift and</w:t>
      </w:r>
      <w:r w:rsidRPr="00BC3701">
        <w:rPr>
          <w:rFonts w:asciiTheme="minorHAnsi" w:eastAsia="Palatino Linotype" w:hAnsiTheme="minorHAnsi" w:cs="Palatino Linotype"/>
        </w:rPr>
        <w:t xml:space="preserve"> loyalty cards</w:t>
      </w:r>
      <w:r w:rsidR="00254BCD" w:rsidRPr="00BC3701">
        <w:rPr>
          <w:rFonts w:asciiTheme="minorHAnsi" w:eastAsia="Palatino Linotype" w:hAnsiTheme="minorHAnsi" w:cs="Palatino Linotype"/>
        </w:rPr>
        <w:t>, point of sale (POS) terminals,</w:t>
      </w:r>
      <w:r w:rsidRPr="00BC3701">
        <w:rPr>
          <w:rFonts w:asciiTheme="minorHAnsi" w:eastAsia="Palatino Linotype" w:hAnsiTheme="minorHAnsi" w:cs="Palatino Linotype"/>
        </w:rPr>
        <w:t xml:space="preserve"> and ATM access to name but a few."</w:t>
      </w:r>
    </w:p>
    <w:p w14:paraId="49F0193C" w14:textId="77777777" w:rsidR="001E3123" w:rsidRPr="00BC3701" w:rsidRDefault="00E14514" w:rsidP="00B859EC">
      <w:pPr>
        <w:spacing w:line="240" w:lineRule="auto"/>
        <w:jc w:val="both"/>
        <w:rPr>
          <w:rFonts w:asciiTheme="minorHAnsi" w:eastAsia="Palatino Linotype" w:hAnsiTheme="minorHAnsi" w:cs="Palatino Linotype"/>
          <w:b/>
          <w:u w:val="single"/>
        </w:rPr>
      </w:pPr>
      <w:r w:rsidRPr="00BC3701">
        <w:rPr>
          <w:rFonts w:asciiTheme="minorHAnsi" w:eastAsia="Palatino Linotype" w:hAnsiTheme="minorHAnsi" w:cs="Palatino Linotype"/>
          <w:b/>
          <w:u w:val="single"/>
        </w:rPr>
        <w:t>About Aliant</w:t>
      </w:r>
    </w:p>
    <w:p w14:paraId="1B04F7F4" w14:textId="77777777" w:rsidR="001E3123"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lastRenderedPageBreak/>
        <w:t>Aliant Payment Systems is an international merchant services and credit card processing company, with corporate offices in Fort Lauderdale, Florida. Aliant provides credit card processing and payment processing accounts for businesses worldwide, with a highly professional management staff who offer 14 years of experience in account set up, customer service and development. Aliant has aligned itself only with the finest in the industry when it comes to providing merchant services. Additionally, Aliant offers a complete line of credit card machines and ATMs to offer the highest in convenience and efficiency to your business and its customers.</w:t>
      </w:r>
    </w:p>
    <w:p w14:paraId="28A9075C" w14:textId="77777777" w:rsidR="001E3123" w:rsidRPr="00BC3701" w:rsidRDefault="00D53C4A" w:rsidP="00B859EC">
      <w:pPr>
        <w:spacing w:line="240" w:lineRule="auto"/>
        <w:jc w:val="both"/>
        <w:rPr>
          <w:rFonts w:asciiTheme="minorHAnsi" w:eastAsia="Palatino Linotype" w:hAnsiTheme="minorHAnsi" w:cs="Palatino Linotype"/>
          <w:b/>
          <w:u w:val="single"/>
          <w:lang w:val="fr-CA"/>
        </w:rPr>
      </w:pPr>
      <w:r w:rsidRPr="00BC3701">
        <w:rPr>
          <w:rFonts w:asciiTheme="minorHAnsi" w:eastAsia="Palatino Linotype" w:hAnsiTheme="minorHAnsi" w:cs="Palatino Linotype"/>
          <w:lang w:val="fr-CA"/>
        </w:rPr>
        <w:t>http://www.aliantpayments.com/</w:t>
      </w:r>
      <w:r w:rsidR="00E14514" w:rsidRPr="00BC3701">
        <w:rPr>
          <w:rFonts w:asciiTheme="minorHAnsi" w:eastAsia="Palatino Linotype" w:hAnsiTheme="minorHAnsi" w:cs="Palatino Linotype"/>
          <w:b/>
          <w:u w:val="single"/>
          <w:lang w:val="fr-CA"/>
        </w:rPr>
        <w:t>About NetCents</w:t>
      </w:r>
    </w:p>
    <w:p w14:paraId="778C2557" w14:textId="77777777" w:rsidR="001E3123" w:rsidRPr="00BC3701" w:rsidRDefault="00E14514" w:rsidP="00B859EC">
      <w:pPr>
        <w:spacing w:line="240" w:lineRule="auto"/>
        <w:jc w:val="both"/>
        <w:rPr>
          <w:rFonts w:asciiTheme="minorHAnsi" w:eastAsia="Palatino Linotype" w:hAnsiTheme="minorHAnsi" w:cs="Palatino Linotype"/>
        </w:rPr>
      </w:pPr>
      <w:r w:rsidRPr="00BC3701">
        <w:rPr>
          <w:rFonts w:asciiTheme="minorHAnsi" w:eastAsia="Palatino Linotype" w:hAnsiTheme="minorHAnsi" w:cs="Palatino Linotype"/>
        </w:rP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t>
      </w:r>
      <w:proofErr w:type="gramStart"/>
      <w:r w:rsidRPr="00BC3701">
        <w:rPr>
          <w:rFonts w:asciiTheme="minorHAnsi" w:eastAsia="Palatino Linotype" w:hAnsiTheme="minorHAnsi" w:cs="Palatino Linotype"/>
        </w:rPr>
        <w:t>Way.™</w:t>
      </w:r>
      <w:proofErr w:type="gramEnd"/>
    </w:p>
    <w:p w14:paraId="56818167" w14:textId="77777777" w:rsidR="001E3123" w:rsidRPr="00BC3701" w:rsidRDefault="00E14514" w:rsidP="00B859EC">
      <w:pPr>
        <w:spacing w:after="120" w:line="240" w:lineRule="auto"/>
        <w:jc w:val="both"/>
        <w:rPr>
          <w:rFonts w:asciiTheme="minorHAnsi" w:eastAsia="Questrial" w:hAnsiTheme="minorHAnsi" w:cs="Questrial"/>
          <w:sz w:val="24"/>
          <w:szCs w:val="24"/>
        </w:rPr>
      </w:pPr>
      <w:bookmarkStart w:id="1" w:name="_gjdgxs" w:colFirst="0" w:colLast="0"/>
      <w:bookmarkEnd w:id="1"/>
      <w:r w:rsidRPr="00BC3701">
        <w:rPr>
          <w:rFonts w:asciiTheme="minorHAnsi" w:eastAsia="Questrial" w:hAnsiTheme="minorHAnsi" w:cs="Questrial"/>
          <w:sz w:val="24"/>
          <w:szCs w:val="24"/>
        </w:rPr>
        <w:t xml:space="preserve">For more information, please visit the corporate website at </w:t>
      </w:r>
      <w:hyperlink r:id="rId5" w:history="1">
        <w:r w:rsidRPr="00BC3701">
          <w:rPr>
            <w:rFonts w:asciiTheme="minorHAnsi" w:eastAsia="Questrial" w:hAnsiTheme="minorHAnsi" w:cs="Questrial"/>
            <w:color w:val="0563C1"/>
            <w:sz w:val="24"/>
            <w:szCs w:val="24"/>
            <w:u w:val="single"/>
          </w:rPr>
          <w:t>www.net-cents.com</w:t>
        </w:r>
      </w:hyperlink>
      <w:r w:rsidRPr="00BC3701">
        <w:rPr>
          <w:rFonts w:asciiTheme="minorHAnsi" w:eastAsia="Questrial" w:hAnsiTheme="minorHAnsi" w:cs="Questrial"/>
          <w:sz w:val="24"/>
          <w:szCs w:val="24"/>
        </w:rPr>
        <w:t xml:space="preserve"> or contact </w:t>
      </w:r>
      <w:proofErr w:type="spellStart"/>
      <w:r w:rsidRPr="00BC3701">
        <w:rPr>
          <w:rFonts w:asciiTheme="minorHAnsi" w:eastAsia="Questrial" w:hAnsiTheme="minorHAnsi" w:cs="Questrial"/>
          <w:sz w:val="24"/>
          <w:szCs w:val="24"/>
        </w:rPr>
        <w:t>Gord</w:t>
      </w:r>
      <w:proofErr w:type="spellEnd"/>
      <w:r w:rsidRPr="00BC3701">
        <w:rPr>
          <w:rFonts w:asciiTheme="minorHAnsi" w:eastAsia="Questrial" w:hAnsiTheme="minorHAnsi" w:cs="Questrial"/>
          <w:sz w:val="24"/>
          <w:szCs w:val="24"/>
        </w:rPr>
        <w:t xml:space="preserve"> Jessop, President: </w:t>
      </w:r>
      <w:hyperlink r:id="rId6" w:history="1">
        <w:r w:rsidRPr="00BC3701">
          <w:rPr>
            <w:rFonts w:asciiTheme="minorHAnsi" w:eastAsia="Questrial" w:hAnsiTheme="minorHAnsi" w:cs="Questrial"/>
            <w:color w:val="0563C1"/>
            <w:sz w:val="24"/>
            <w:szCs w:val="24"/>
            <w:u w:val="single"/>
          </w:rPr>
          <w:t>gord.jessop@net-cents.com</w:t>
        </w:r>
      </w:hyperlink>
      <w:r w:rsidRPr="00BC3701">
        <w:rPr>
          <w:rFonts w:asciiTheme="minorHAnsi" w:eastAsia="Questrial" w:hAnsiTheme="minorHAnsi" w:cs="Questrial"/>
          <w:sz w:val="24"/>
          <w:szCs w:val="24"/>
        </w:rPr>
        <w:t>.</w:t>
      </w:r>
    </w:p>
    <w:p w14:paraId="414E1D91" w14:textId="77777777" w:rsidR="001E3123" w:rsidRPr="00BC3701" w:rsidRDefault="001E3123" w:rsidP="00B859EC">
      <w:pPr>
        <w:spacing w:after="120" w:line="240" w:lineRule="auto"/>
        <w:jc w:val="both"/>
        <w:rPr>
          <w:rFonts w:asciiTheme="minorHAnsi" w:eastAsia="Questrial" w:hAnsiTheme="minorHAnsi" w:cs="Questrial"/>
          <w:sz w:val="24"/>
          <w:szCs w:val="24"/>
        </w:rPr>
      </w:pPr>
    </w:p>
    <w:p w14:paraId="6CD112A6" w14:textId="77777777" w:rsidR="001E3123" w:rsidRPr="00B859EC" w:rsidRDefault="00E14514" w:rsidP="00B859EC">
      <w:pPr>
        <w:spacing w:after="120" w:line="240" w:lineRule="auto"/>
        <w:jc w:val="both"/>
        <w:rPr>
          <w:rFonts w:asciiTheme="minorHAnsi" w:eastAsia="Questrial" w:hAnsiTheme="minorHAnsi" w:cs="Questrial"/>
        </w:rPr>
      </w:pPr>
      <w:r w:rsidRPr="00B859EC">
        <w:rPr>
          <w:rFonts w:asciiTheme="minorHAnsi" w:eastAsia="Questrial" w:hAnsiTheme="minorHAnsi" w:cs="Questrial"/>
        </w:rPr>
        <w:t xml:space="preserve">On Behalf of the Board of Directors </w:t>
      </w:r>
    </w:p>
    <w:p w14:paraId="2BC55561" w14:textId="77777777" w:rsidR="001E3123" w:rsidRPr="00B859EC" w:rsidRDefault="00E14514" w:rsidP="00B859EC">
      <w:pPr>
        <w:spacing w:after="0" w:line="240" w:lineRule="auto"/>
        <w:jc w:val="both"/>
        <w:rPr>
          <w:rFonts w:asciiTheme="minorHAnsi" w:eastAsia="Questrial" w:hAnsiTheme="minorHAnsi" w:cs="Questrial"/>
        </w:rPr>
      </w:pPr>
      <w:r w:rsidRPr="00B859EC">
        <w:rPr>
          <w:rFonts w:asciiTheme="minorHAnsi" w:eastAsia="Questrial" w:hAnsiTheme="minorHAnsi" w:cs="Questrial"/>
        </w:rPr>
        <w:t>NetCents Technology Inc.</w:t>
      </w:r>
    </w:p>
    <w:p w14:paraId="4C693371" w14:textId="77777777" w:rsidR="001E3123" w:rsidRPr="00B859EC" w:rsidRDefault="001E3123" w:rsidP="00B859EC">
      <w:pPr>
        <w:spacing w:after="0" w:line="240" w:lineRule="auto"/>
        <w:jc w:val="both"/>
        <w:rPr>
          <w:rFonts w:asciiTheme="minorHAnsi" w:eastAsia="Questrial" w:hAnsiTheme="minorHAnsi" w:cs="Questrial"/>
        </w:rPr>
      </w:pPr>
    </w:p>
    <w:p w14:paraId="7AE761A5" w14:textId="77777777" w:rsidR="001E3123" w:rsidRPr="00B859EC" w:rsidRDefault="00E14514" w:rsidP="00B859EC">
      <w:pPr>
        <w:spacing w:after="0" w:line="240" w:lineRule="auto"/>
        <w:jc w:val="both"/>
        <w:rPr>
          <w:rFonts w:asciiTheme="minorHAnsi" w:eastAsia="Questrial" w:hAnsiTheme="minorHAnsi" w:cs="Questrial"/>
        </w:rPr>
      </w:pPr>
      <w:r w:rsidRPr="00B859EC">
        <w:rPr>
          <w:rFonts w:asciiTheme="minorHAnsi" w:eastAsia="Questrial" w:hAnsiTheme="minorHAnsi" w:cs="Questrial"/>
          <w:u w:val="single"/>
        </w:rPr>
        <w:t>“Clayton Moore”</w:t>
      </w:r>
    </w:p>
    <w:p w14:paraId="1999F0DA" w14:textId="77777777" w:rsidR="001E3123" w:rsidRPr="00B859EC" w:rsidRDefault="00E14514" w:rsidP="00B859EC">
      <w:pPr>
        <w:spacing w:after="0" w:line="240" w:lineRule="auto"/>
        <w:jc w:val="both"/>
        <w:rPr>
          <w:rFonts w:asciiTheme="minorHAnsi" w:eastAsia="Questrial" w:hAnsiTheme="minorHAnsi" w:cs="Questrial"/>
        </w:rPr>
      </w:pPr>
      <w:r w:rsidRPr="00B859EC">
        <w:rPr>
          <w:rFonts w:asciiTheme="minorHAnsi" w:eastAsia="Questrial" w:hAnsiTheme="minorHAnsi" w:cs="Questrial"/>
        </w:rPr>
        <w:t>Clayton Moore, CEO, Founder and Director</w:t>
      </w:r>
    </w:p>
    <w:p w14:paraId="41B9A30D" w14:textId="77777777" w:rsidR="001E3123" w:rsidRPr="00B859EC" w:rsidRDefault="001E3123" w:rsidP="00B859EC">
      <w:pPr>
        <w:spacing w:after="0" w:line="240" w:lineRule="auto"/>
        <w:jc w:val="both"/>
        <w:rPr>
          <w:rFonts w:asciiTheme="minorHAnsi" w:eastAsia="Questrial" w:hAnsiTheme="minorHAnsi" w:cs="Questrial"/>
        </w:rPr>
      </w:pPr>
    </w:p>
    <w:p w14:paraId="09B10AFC" w14:textId="77777777" w:rsidR="001E3123" w:rsidRPr="00B859EC" w:rsidRDefault="00E14514" w:rsidP="00B859EC">
      <w:pPr>
        <w:spacing w:after="0" w:line="240" w:lineRule="auto"/>
        <w:jc w:val="both"/>
        <w:rPr>
          <w:rFonts w:asciiTheme="minorHAnsi" w:eastAsia="Questrial" w:hAnsiTheme="minorHAnsi" w:cs="Questrial"/>
        </w:rPr>
      </w:pPr>
      <w:r w:rsidRPr="00B859EC">
        <w:rPr>
          <w:rFonts w:asciiTheme="minorHAnsi" w:eastAsia="Questrial" w:hAnsiTheme="minorHAnsi" w:cs="Questrial"/>
        </w:rPr>
        <w:t>NetCents Technology Inc.</w:t>
      </w:r>
    </w:p>
    <w:p w14:paraId="67FF102E" w14:textId="77777777" w:rsidR="001E3123" w:rsidRPr="00B859EC" w:rsidRDefault="00E14514" w:rsidP="00B859EC">
      <w:pPr>
        <w:spacing w:after="0" w:line="240" w:lineRule="auto"/>
        <w:jc w:val="both"/>
        <w:rPr>
          <w:rFonts w:asciiTheme="minorHAnsi" w:eastAsia="Questrial" w:hAnsiTheme="minorHAnsi" w:cs="Questrial"/>
        </w:rPr>
      </w:pPr>
      <w:r w:rsidRPr="00B859EC">
        <w:rPr>
          <w:rFonts w:asciiTheme="minorHAnsi" w:eastAsia="Questrial" w:hAnsiTheme="minorHAnsi" w:cs="Questrial"/>
        </w:rPr>
        <w:t>Suite 880, 505 Burrard St (</w:t>
      </w:r>
      <w:proofErr w:type="spellStart"/>
      <w:r w:rsidRPr="00B859EC">
        <w:rPr>
          <w:rFonts w:asciiTheme="minorHAnsi" w:eastAsia="Questrial" w:hAnsiTheme="minorHAnsi" w:cs="Questrial"/>
        </w:rPr>
        <w:t>Bentall</w:t>
      </w:r>
      <w:proofErr w:type="spellEnd"/>
      <w:r w:rsidRPr="00B859EC">
        <w:rPr>
          <w:rFonts w:asciiTheme="minorHAnsi" w:eastAsia="Questrial" w:hAnsiTheme="minorHAnsi" w:cs="Questrial"/>
        </w:rPr>
        <w:t xml:space="preserve"> 1), </w:t>
      </w:r>
    </w:p>
    <w:p w14:paraId="3F1C9C1D" w14:textId="77777777" w:rsidR="001E3123" w:rsidRPr="00B859EC" w:rsidRDefault="00E14514" w:rsidP="00B859EC">
      <w:pPr>
        <w:spacing w:after="0" w:line="240" w:lineRule="auto"/>
        <w:jc w:val="both"/>
        <w:rPr>
          <w:rFonts w:asciiTheme="minorHAnsi" w:eastAsia="Questrial" w:hAnsiTheme="minorHAnsi" w:cs="Questrial"/>
        </w:rPr>
      </w:pPr>
      <w:r w:rsidRPr="00B859EC">
        <w:rPr>
          <w:rFonts w:asciiTheme="minorHAnsi" w:eastAsia="Questrial" w:hAnsiTheme="minorHAnsi" w:cs="Questrial"/>
        </w:rPr>
        <w:t>Vancouver, BC, V7X 1M4</w:t>
      </w:r>
    </w:p>
    <w:p w14:paraId="479DD17D" w14:textId="77777777" w:rsidR="001E3123" w:rsidRPr="00B859EC" w:rsidRDefault="001E3123" w:rsidP="00B859EC">
      <w:pPr>
        <w:spacing w:after="0" w:line="240" w:lineRule="auto"/>
        <w:jc w:val="both"/>
        <w:rPr>
          <w:rFonts w:asciiTheme="minorHAnsi" w:eastAsia="Questrial" w:hAnsiTheme="minorHAnsi" w:cs="Questrial"/>
        </w:rPr>
      </w:pPr>
    </w:p>
    <w:p w14:paraId="0C7A70CB" w14:textId="77777777" w:rsidR="001E3123" w:rsidRPr="00B859EC" w:rsidRDefault="00E14514" w:rsidP="00B859EC">
      <w:pPr>
        <w:jc w:val="both"/>
        <w:rPr>
          <w:rFonts w:asciiTheme="minorHAnsi" w:eastAsia="Questrial" w:hAnsiTheme="minorHAnsi" w:cs="Questrial"/>
        </w:rPr>
      </w:pPr>
      <w:bookmarkStart w:id="2" w:name="_30j0zll" w:colFirst="0" w:colLast="0"/>
      <w:bookmarkEnd w:id="2"/>
      <w:r w:rsidRPr="00B859EC">
        <w:rPr>
          <w:rFonts w:asciiTheme="minorHAnsi" w:eastAsia="Questrial" w:hAnsiTheme="minorHAnsi" w:cs="Questrial"/>
        </w:rPr>
        <w:t>Cautionary Note Regarding Forward-Looking Information</w:t>
      </w:r>
    </w:p>
    <w:p w14:paraId="5045E10E" w14:textId="77777777" w:rsidR="001E3123" w:rsidRPr="00B859EC" w:rsidRDefault="00E14514" w:rsidP="00B859EC">
      <w:pPr>
        <w:jc w:val="both"/>
        <w:rPr>
          <w:rFonts w:asciiTheme="minorHAnsi" w:eastAsia="Questrial" w:hAnsiTheme="minorHAnsi" w:cs="Questrial"/>
        </w:rPr>
      </w:pPr>
      <w:r w:rsidRPr="00B859EC">
        <w:rPr>
          <w:rFonts w:asciiTheme="minorHAnsi" w:eastAsia="Questrial" w:hAnsiTheme="minorHAnsi"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w:t>
      </w:r>
      <w:r w:rsidRPr="00B859EC">
        <w:rPr>
          <w:rFonts w:asciiTheme="minorHAnsi" w:eastAsia="Questrial" w:hAnsiTheme="minorHAnsi" w:cs="Questrial"/>
        </w:rPr>
        <w:lastRenderedPageBreak/>
        <w:t>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1E3123" w:rsidRPr="00B859EC">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23"/>
    <w:rsid w:val="001E3123"/>
    <w:rsid w:val="001F6B35"/>
    <w:rsid w:val="00254BCD"/>
    <w:rsid w:val="002D4461"/>
    <w:rsid w:val="00391AB3"/>
    <w:rsid w:val="006231FC"/>
    <w:rsid w:val="00765632"/>
    <w:rsid w:val="00770625"/>
    <w:rsid w:val="007D1A09"/>
    <w:rsid w:val="00966FB2"/>
    <w:rsid w:val="009B7002"/>
    <w:rsid w:val="00AC2C0B"/>
    <w:rsid w:val="00AC5D5F"/>
    <w:rsid w:val="00AF6C5F"/>
    <w:rsid w:val="00B859EC"/>
    <w:rsid w:val="00BC3701"/>
    <w:rsid w:val="00BF2C3B"/>
    <w:rsid w:val="00C66549"/>
    <w:rsid w:val="00D245C9"/>
    <w:rsid w:val="00D53C4A"/>
    <w:rsid w:val="00E14514"/>
    <w:rsid w:val="00E14A1C"/>
    <w:rsid w:val="00F07590"/>
    <w:rsid w:val="00F4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493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105">
      <w:bodyDiv w:val="1"/>
      <w:marLeft w:val="0"/>
      <w:marRight w:val="0"/>
      <w:marTop w:val="0"/>
      <w:marBottom w:val="0"/>
      <w:divBdr>
        <w:top w:val="none" w:sz="0" w:space="0" w:color="auto"/>
        <w:left w:val="none" w:sz="0" w:space="0" w:color="auto"/>
        <w:bottom w:val="none" w:sz="0" w:space="0" w:color="auto"/>
        <w:right w:val="none" w:sz="0" w:space="0" w:color="auto"/>
      </w:divBdr>
    </w:div>
    <w:div w:id="143939872">
      <w:bodyDiv w:val="1"/>
      <w:marLeft w:val="0"/>
      <w:marRight w:val="0"/>
      <w:marTop w:val="0"/>
      <w:marBottom w:val="0"/>
      <w:divBdr>
        <w:top w:val="none" w:sz="0" w:space="0" w:color="auto"/>
        <w:left w:val="none" w:sz="0" w:space="0" w:color="auto"/>
        <w:bottom w:val="none" w:sz="0" w:space="0" w:color="auto"/>
        <w:right w:val="none" w:sz="0" w:space="0" w:color="auto"/>
      </w:divBdr>
    </w:div>
    <w:div w:id="308555141">
      <w:bodyDiv w:val="1"/>
      <w:marLeft w:val="0"/>
      <w:marRight w:val="0"/>
      <w:marTop w:val="0"/>
      <w:marBottom w:val="0"/>
      <w:divBdr>
        <w:top w:val="none" w:sz="0" w:space="0" w:color="auto"/>
        <w:left w:val="none" w:sz="0" w:space="0" w:color="auto"/>
        <w:bottom w:val="none" w:sz="0" w:space="0" w:color="auto"/>
        <w:right w:val="none" w:sz="0" w:space="0" w:color="auto"/>
      </w:divBdr>
    </w:div>
    <w:div w:id="731076809">
      <w:bodyDiv w:val="1"/>
      <w:marLeft w:val="0"/>
      <w:marRight w:val="0"/>
      <w:marTop w:val="0"/>
      <w:marBottom w:val="0"/>
      <w:divBdr>
        <w:top w:val="none" w:sz="0" w:space="0" w:color="auto"/>
        <w:left w:val="none" w:sz="0" w:space="0" w:color="auto"/>
        <w:bottom w:val="none" w:sz="0" w:space="0" w:color="auto"/>
        <w:right w:val="none" w:sz="0" w:space="0" w:color="auto"/>
      </w:divBdr>
      <w:divsChild>
        <w:div w:id="142550732">
          <w:marLeft w:val="0"/>
          <w:marRight w:val="0"/>
          <w:marTop w:val="0"/>
          <w:marBottom w:val="0"/>
          <w:divBdr>
            <w:top w:val="none" w:sz="0" w:space="0" w:color="auto"/>
            <w:left w:val="none" w:sz="0" w:space="0" w:color="auto"/>
            <w:bottom w:val="none" w:sz="0" w:space="0" w:color="auto"/>
            <w:right w:val="none" w:sz="0" w:space="0" w:color="auto"/>
          </w:divBdr>
          <w:divsChild>
            <w:div w:id="633021550">
              <w:marLeft w:val="0"/>
              <w:marRight w:val="0"/>
              <w:marTop w:val="0"/>
              <w:marBottom w:val="0"/>
              <w:divBdr>
                <w:top w:val="none" w:sz="0" w:space="0" w:color="auto"/>
                <w:left w:val="none" w:sz="0" w:space="0" w:color="auto"/>
                <w:bottom w:val="none" w:sz="0" w:space="0" w:color="auto"/>
                <w:right w:val="none" w:sz="0" w:space="0" w:color="auto"/>
              </w:divBdr>
            </w:div>
            <w:div w:id="591200821">
              <w:marLeft w:val="0"/>
              <w:marRight w:val="0"/>
              <w:marTop w:val="0"/>
              <w:marBottom w:val="0"/>
              <w:divBdr>
                <w:top w:val="none" w:sz="0" w:space="0" w:color="auto"/>
                <w:left w:val="none" w:sz="0" w:space="0" w:color="auto"/>
                <w:bottom w:val="none" w:sz="0" w:space="0" w:color="auto"/>
                <w:right w:val="none" w:sz="0" w:space="0" w:color="auto"/>
              </w:divBdr>
            </w:div>
            <w:div w:id="1133644512">
              <w:marLeft w:val="0"/>
              <w:marRight w:val="0"/>
              <w:marTop w:val="0"/>
              <w:marBottom w:val="0"/>
              <w:divBdr>
                <w:top w:val="none" w:sz="0" w:space="0" w:color="auto"/>
                <w:left w:val="none" w:sz="0" w:space="0" w:color="auto"/>
                <w:bottom w:val="none" w:sz="0" w:space="0" w:color="auto"/>
                <w:right w:val="none" w:sz="0" w:space="0" w:color="auto"/>
              </w:divBdr>
            </w:div>
            <w:div w:id="784663599">
              <w:marLeft w:val="0"/>
              <w:marRight w:val="0"/>
              <w:marTop w:val="0"/>
              <w:marBottom w:val="0"/>
              <w:divBdr>
                <w:top w:val="none" w:sz="0" w:space="0" w:color="auto"/>
                <w:left w:val="none" w:sz="0" w:space="0" w:color="auto"/>
                <w:bottom w:val="none" w:sz="0" w:space="0" w:color="auto"/>
                <w:right w:val="none" w:sz="0" w:space="0" w:color="auto"/>
              </w:divBdr>
            </w:div>
            <w:div w:id="2121676330">
              <w:marLeft w:val="0"/>
              <w:marRight w:val="0"/>
              <w:marTop w:val="0"/>
              <w:marBottom w:val="0"/>
              <w:divBdr>
                <w:top w:val="none" w:sz="0" w:space="0" w:color="auto"/>
                <w:left w:val="none" w:sz="0" w:space="0" w:color="auto"/>
                <w:bottom w:val="none" w:sz="0" w:space="0" w:color="auto"/>
                <w:right w:val="none" w:sz="0" w:space="0" w:color="auto"/>
              </w:divBdr>
            </w:div>
            <w:div w:id="323895185">
              <w:marLeft w:val="0"/>
              <w:marRight w:val="0"/>
              <w:marTop w:val="0"/>
              <w:marBottom w:val="0"/>
              <w:divBdr>
                <w:top w:val="none" w:sz="0" w:space="0" w:color="auto"/>
                <w:left w:val="none" w:sz="0" w:space="0" w:color="auto"/>
                <w:bottom w:val="none" w:sz="0" w:space="0" w:color="auto"/>
                <w:right w:val="none" w:sz="0" w:space="0" w:color="auto"/>
              </w:divBdr>
            </w:div>
            <w:div w:id="1224415670">
              <w:marLeft w:val="0"/>
              <w:marRight w:val="0"/>
              <w:marTop w:val="0"/>
              <w:marBottom w:val="0"/>
              <w:divBdr>
                <w:top w:val="none" w:sz="0" w:space="0" w:color="auto"/>
                <w:left w:val="none" w:sz="0" w:space="0" w:color="auto"/>
                <w:bottom w:val="none" w:sz="0" w:space="0" w:color="auto"/>
                <w:right w:val="none" w:sz="0" w:space="0" w:color="auto"/>
              </w:divBdr>
            </w:div>
            <w:div w:id="1603104179">
              <w:marLeft w:val="0"/>
              <w:marRight w:val="0"/>
              <w:marTop w:val="0"/>
              <w:marBottom w:val="0"/>
              <w:divBdr>
                <w:top w:val="none" w:sz="0" w:space="0" w:color="auto"/>
                <w:left w:val="none" w:sz="0" w:space="0" w:color="auto"/>
                <w:bottom w:val="none" w:sz="0" w:space="0" w:color="auto"/>
                <w:right w:val="none" w:sz="0" w:space="0" w:color="auto"/>
              </w:divBdr>
            </w:div>
          </w:divsChild>
        </w:div>
        <w:div w:id="1798986462">
          <w:marLeft w:val="0"/>
          <w:marRight w:val="0"/>
          <w:marTop w:val="3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net-cents.com" TargetMode="External"/><Relationship Id="rId6" Type="http://schemas.openxmlformats.org/officeDocument/2006/relationships/hyperlink" Target="mailto:gord.jessop@net-cent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949</Words>
  <Characters>5410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2017-11-20T22:10:00Z</dcterms:created>
  <dcterms:modified xsi:type="dcterms:W3CDTF">2017-11-21T17:26:00Z</dcterms:modified>
</cp:coreProperties>
</file>